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E260D" w14:textId="77777777" w:rsidR="00907AB1" w:rsidRDefault="001C5B12">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59DD18B4" w14:textId="77777777" w:rsidR="00907AB1" w:rsidRDefault="00907AB1">
      <w:pPr>
        <w:rPr>
          <w:rFonts w:ascii="Times New Roman" w:hAnsi="Times New Roman" w:cs="Times New Roman"/>
          <w:b/>
          <w:bCs/>
          <w:sz w:val="24"/>
          <w:szCs w:val="24"/>
        </w:rPr>
      </w:pPr>
    </w:p>
    <w:p w14:paraId="14265CFD" w14:textId="77777777" w:rsidR="00907AB1" w:rsidRDefault="00907AB1">
      <w:pPr>
        <w:rPr>
          <w:rFonts w:ascii="Times New Roman" w:hAnsi="Times New Roman" w:cs="Times New Roman"/>
          <w:b/>
          <w:bCs/>
          <w:sz w:val="24"/>
          <w:szCs w:val="24"/>
        </w:rPr>
      </w:pPr>
    </w:p>
    <w:p w14:paraId="4666FD31" w14:textId="77777777" w:rsidR="00907AB1" w:rsidRDefault="00907AB1">
      <w:pPr>
        <w:rPr>
          <w:rFonts w:ascii="Times New Roman" w:hAnsi="Times New Roman" w:cs="Times New Roman"/>
          <w:b/>
          <w:bCs/>
          <w:sz w:val="24"/>
          <w:szCs w:val="24"/>
        </w:rPr>
      </w:pPr>
    </w:p>
    <w:p w14:paraId="23B77FC3" w14:textId="77777777" w:rsidR="00907AB1" w:rsidRDefault="001C5B12">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79F76827" w14:textId="77777777" w:rsidR="00907AB1" w:rsidRDefault="00907AB1">
      <w:pPr>
        <w:rPr>
          <w:rFonts w:ascii="Times New Roman" w:hAnsi="Times New Roman" w:cs="Times New Roman"/>
          <w:b/>
          <w:bCs/>
          <w:sz w:val="24"/>
          <w:szCs w:val="24"/>
        </w:rPr>
      </w:pPr>
    </w:p>
    <w:p w14:paraId="22223007" w14:textId="40681DDE" w:rsidR="00907AB1" w:rsidRDefault="001C5B12">
      <w:pPr>
        <w:rPr>
          <w:rFonts w:ascii="Times New Roman" w:hAnsi="Times New Roman" w:cs="Times New Roman"/>
          <w:b/>
          <w:bCs/>
          <w:sz w:val="24"/>
          <w:szCs w:val="24"/>
        </w:rPr>
      </w:pPr>
      <w:r>
        <w:rPr>
          <w:rFonts w:ascii="Times New Roman" w:hAnsi="Times New Roman" w:cs="Times New Roman"/>
          <w:b/>
          <w:bCs/>
          <w:sz w:val="24"/>
          <w:szCs w:val="24"/>
        </w:rPr>
        <w:t xml:space="preserve">                                  POLITICAL BACKGROUNDS</w:t>
      </w:r>
    </w:p>
    <w:p w14:paraId="754E9B92" w14:textId="77777777" w:rsidR="00907AB1" w:rsidRDefault="00907AB1">
      <w:pPr>
        <w:rPr>
          <w:rFonts w:ascii="Times New Roman" w:hAnsi="Times New Roman" w:cs="Times New Roman"/>
          <w:b/>
          <w:bCs/>
          <w:sz w:val="24"/>
          <w:szCs w:val="24"/>
        </w:rPr>
      </w:pPr>
    </w:p>
    <w:p w14:paraId="2383FC25" w14:textId="63B32CA5" w:rsidR="00907AB1" w:rsidRDefault="001C5B12">
      <w:pPr>
        <w:rPr>
          <w:rFonts w:ascii="Times New Roman" w:hAnsi="Times New Roman" w:cs="Times New Roman"/>
          <w:sz w:val="24"/>
          <w:szCs w:val="24"/>
        </w:rPr>
      </w:pPr>
      <w:r>
        <w:rPr>
          <w:rFonts w:ascii="Times New Roman" w:hAnsi="Times New Roman" w:cs="Times New Roman"/>
          <w:sz w:val="24"/>
          <w:szCs w:val="24"/>
        </w:rPr>
        <w:t xml:space="preserve">                                                       (Student’s name)</w:t>
      </w:r>
    </w:p>
    <w:p w14:paraId="6BC4927A" w14:textId="77777777" w:rsidR="00907AB1" w:rsidRDefault="00907AB1">
      <w:pPr>
        <w:rPr>
          <w:rFonts w:ascii="Times New Roman" w:hAnsi="Times New Roman" w:cs="Times New Roman"/>
          <w:sz w:val="24"/>
          <w:szCs w:val="24"/>
        </w:rPr>
      </w:pPr>
    </w:p>
    <w:p w14:paraId="08D38983" w14:textId="6F3438AB" w:rsidR="00907AB1" w:rsidRDefault="001C5B12">
      <w:pPr>
        <w:rPr>
          <w:rFonts w:ascii="Times New Roman" w:hAnsi="Times New Roman" w:cs="Times New Roman"/>
          <w:sz w:val="24"/>
          <w:szCs w:val="24"/>
        </w:rPr>
      </w:pPr>
      <w:r>
        <w:rPr>
          <w:rFonts w:ascii="Times New Roman" w:hAnsi="Times New Roman" w:cs="Times New Roman"/>
          <w:sz w:val="24"/>
          <w:szCs w:val="24"/>
        </w:rPr>
        <w:t xml:space="preserve">                                                        (Affiliated Institution)</w:t>
      </w:r>
    </w:p>
    <w:p w14:paraId="416EFD1E" w14:textId="77777777" w:rsidR="00907AB1" w:rsidRDefault="00907AB1">
      <w:pPr>
        <w:rPr>
          <w:rFonts w:ascii="Times New Roman" w:hAnsi="Times New Roman" w:cs="Times New Roman"/>
          <w:sz w:val="24"/>
          <w:szCs w:val="24"/>
        </w:rPr>
      </w:pPr>
    </w:p>
    <w:p w14:paraId="12CA6CB8" w14:textId="59F1519F" w:rsidR="00907AB1" w:rsidRDefault="001C5B12">
      <w:pPr>
        <w:rPr>
          <w:rFonts w:ascii="Times New Roman" w:hAnsi="Times New Roman" w:cs="Times New Roman"/>
          <w:sz w:val="24"/>
          <w:szCs w:val="24"/>
        </w:rPr>
      </w:pPr>
      <w:r>
        <w:rPr>
          <w:rFonts w:ascii="Times New Roman" w:hAnsi="Times New Roman" w:cs="Times New Roman"/>
          <w:sz w:val="24"/>
          <w:szCs w:val="24"/>
        </w:rPr>
        <w:t xml:space="preserve">                                                           (Date)</w:t>
      </w:r>
    </w:p>
    <w:p w14:paraId="19D525EB" w14:textId="77777777" w:rsidR="00907AB1" w:rsidRDefault="00907AB1">
      <w:pPr>
        <w:rPr>
          <w:rFonts w:ascii="Times New Roman" w:hAnsi="Times New Roman" w:cs="Times New Roman"/>
          <w:sz w:val="24"/>
          <w:szCs w:val="24"/>
        </w:rPr>
      </w:pPr>
    </w:p>
    <w:p w14:paraId="26B65996" w14:textId="556F9514" w:rsidR="00907AB1" w:rsidRDefault="001C5B12">
      <w:pPr>
        <w:rPr>
          <w:rFonts w:ascii="Times New Roman" w:hAnsi="Times New Roman" w:cs="Times New Roman"/>
          <w:sz w:val="24"/>
          <w:szCs w:val="24"/>
        </w:rPr>
      </w:pPr>
      <w:r>
        <w:rPr>
          <w:rFonts w:ascii="Times New Roman" w:hAnsi="Times New Roman" w:cs="Times New Roman"/>
          <w:sz w:val="24"/>
          <w:szCs w:val="24"/>
        </w:rPr>
        <w:t xml:space="preserve">                                                           (Course)</w:t>
      </w:r>
    </w:p>
    <w:p w14:paraId="34B70532" w14:textId="77777777" w:rsidR="00907AB1" w:rsidRDefault="001C5B12">
      <w:pPr>
        <w:rPr>
          <w:rFonts w:ascii="Times New Roman" w:hAnsi="Times New Roman" w:cs="Times New Roman"/>
          <w:sz w:val="24"/>
          <w:szCs w:val="24"/>
        </w:rPr>
      </w:pPr>
      <w:r>
        <w:rPr>
          <w:rFonts w:ascii="Times New Roman" w:hAnsi="Times New Roman" w:cs="Times New Roman"/>
          <w:sz w:val="24"/>
          <w:szCs w:val="24"/>
        </w:rPr>
        <w:br w:type="page"/>
      </w:r>
    </w:p>
    <w:p w14:paraId="7055D194" w14:textId="10BCEAC9" w:rsidR="002E212A" w:rsidRPr="002E212A" w:rsidRDefault="001C5B12" w:rsidP="008D3BB8">
      <w:pPr>
        <w:spacing w:line="48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Pr>
          <w:rFonts w:ascii="Times New Roman" w:hAnsi="Times New Roman" w:cs="Times New Roman"/>
          <w:b/>
          <w:bCs/>
          <w:sz w:val="24"/>
          <w:szCs w:val="24"/>
        </w:rPr>
        <w:t>State of nature</w:t>
      </w:r>
    </w:p>
    <w:p w14:paraId="7A84D86C" w14:textId="41641D1B" w:rsidR="00907AB1" w:rsidRDefault="001C5B12" w:rsidP="008D3BB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E212A">
        <w:rPr>
          <w:rFonts w:ascii="Times New Roman" w:hAnsi="Times New Roman" w:cs="Times New Roman"/>
          <w:sz w:val="24"/>
          <w:szCs w:val="24"/>
        </w:rPr>
        <w:t xml:space="preserve">   </w:t>
      </w:r>
      <w:r w:rsidRPr="00A749BD">
        <w:rPr>
          <w:rFonts w:ascii="Times New Roman" w:hAnsi="Times New Roman" w:cs="Times New Roman"/>
          <w:sz w:val="24"/>
          <w:szCs w:val="24"/>
        </w:rPr>
        <w:t>Hobbes and Locke likewise utilized nature as a theoretical condition to clarify the requirement for an implicit agreement, which accelerates a real political body's foundation.</w:t>
      </w:r>
      <w:r w:rsidRPr="00A749BD">
        <w:t xml:space="preserve"> </w:t>
      </w:r>
      <w:r w:rsidRPr="00A749BD">
        <w:rPr>
          <w:rFonts w:ascii="Times New Roman" w:hAnsi="Times New Roman" w:cs="Times New Roman"/>
          <w:sz w:val="24"/>
          <w:szCs w:val="24"/>
        </w:rPr>
        <w:t>Notwithstanding, their thoughts of the state of nature cause them to arrive at particular and contradicting resolutions as far as the sort of government that should be shaped.</w:t>
      </w:r>
      <w:r w:rsidRPr="00A749BD">
        <w:t xml:space="preserve"> </w:t>
      </w:r>
      <w:r w:rsidRPr="00A749BD">
        <w:rPr>
          <w:rFonts w:ascii="Times New Roman" w:hAnsi="Times New Roman" w:cs="Times New Roman"/>
          <w:sz w:val="24"/>
          <w:szCs w:val="24"/>
        </w:rPr>
        <w:t>Locke sees the heart condition all the more emphatically and assumes it to be administered by common law. He separates the state of nature from the necessity of war, dissimilar to Hobbes, who considers the condition of heart nearly equal to the shape of warfare.</w:t>
      </w:r>
      <w:r w:rsidR="008D3BB8" w:rsidRPr="008D3BB8">
        <w:t xml:space="preserve"> </w:t>
      </w:r>
      <w:r w:rsidR="008D3BB8" w:rsidRPr="008D3BB8">
        <w:rPr>
          <w:rFonts w:ascii="Times New Roman" w:hAnsi="Times New Roman" w:cs="Times New Roman"/>
          <w:sz w:val="24"/>
          <w:szCs w:val="24"/>
        </w:rPr>
        <w:t>Hobbes accepts that the qualities of the state of nature unavoidably prompt men to 'try harmony</w:t>
      </w:r>
      <w:r w:rsidR="008D3BB8">
        <w:rPr>
          <w:rFonts w:ascii="Times New Roman" w:hAnsi="Times New Roman" w:cs="Times New Roman"/>
          <w:sz w:val="24"/>
          <w:szCs w:val="24"/>
        </w:rPr>
        <w:t>.'</w:t>
      </w:r>
    </w:p>
    <w:p w14:paraId="65FCEFF5" w14:textId="57FB86CF" w:rsidR="00BD0B66" w:rsidRDefault="001C5B12" w:rsidP="00BD0B6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2676E" w:rsidRPr="00B2676E">
        <w:rPr>
          <w:rFonts w:ascii="Times New Roman" w:hAnsi="Times New Roman" w:cs="Times New Roman"/>
          <w:sz w:val="24"/>
          <w:szCs w:val="24"/>
        </w:rPr>
        <w:t>According to Locke, there are only two stable conditions for a political affiliation: the state of nature and a stable society. The requirement for a character in Locke's theory addresses the beginning of a cycle where a condition for a liberal, ensured government is formed. Locke sees nature as a state of full-scale opportunity and consistency, restricted by the law of nature (Bruner et al. (2020). To have the alternative to appreciate the further discussion on the state of heart, it is central to comprehend Locke's idea of the law of nature. Locke's speculation's target is the security of mankind, and he legitimizes this with God's will of being the "aftereffects of [his] workmanship" and subsequently having a commitment to exist as long as God needs us to. It similarly assembles that individuals don't save the benefit of hurting some other individual beside as a kind of gatekeeper or order. Both Hobbes and Locke agree that there is a need to execute the trademark laws, and Locke does this by yielding the standard alternative to every individual. Each man thus should practice the execution of the law of nature (Ayuba et al. (2020).</w:t>
      </w:r>
      <w:r>
        <w:rPr>
          <w:rFonts w:ascii="Times New Roman" w:hAnsi="Times New Roman" w:cs="Times New Roman"/>
          <w:sz w:val="24"/>
          <w:szCs w:val="24"/>
        </w:rPr>
        <w:t xml:space="preserve">  </w:t>
      </w:r>
      <w:r w:rsidRPr="002E212A">
        <w:rPr>
          <w:rFonts w:ascii="Times New Roman" w:hAnsi="Times New Roman" w:cs="Times New Roman"/>
          <w:sz w:val="24"/>
          <w:szCs w:val="24"/>
        </w:rPr>
        <w:t xml:space="preserve">The early Warring States logician Mozi was the primary mastermind in history to build up the possibility of nature's condition. He built up the plan to safeguard the requirement for a solitary by and large ruler. As indicated by Mozi, in the state of nature, every individual has their ethical standards. Therefore, </w:t>
      </w:r>
      <w:r w:rsidRPr="002E212A">
        <w:rPr>
          <w:rFonts w:ascii="Times New Roman" w:hAnsi="Times New Roman" w:cs="Times New Roman"/>
          <w:sz w:val="24"/>
          <w:szCs w:val="24"/>
        </w:rPr>
        <w:lastRenderedPageBreak/>
        <w:t>individuals couldn't agree, and assets were squandered. Since Mozi advanced methods of fortifying and binding together the state, such common dis-association was dismissed</w:t>
      </w:r>
      <w:r>
        <w:rPr>
          <w:rFonts w:ascii="Times New Roman" w:hAnsi="Times New Roman" w:cs="Times New Roman"/>
          <w:sz w:val="24"/>
          <w:szCs w:val="24"/>
        </w:rPr>
        <w:t>.</w:t>
      </w:r>
    </w:p>
    <w:p w14:paraId="56DA6182" w14:textId="257DCB99" w:rsidR="002E212A" w:rsidRDefault="001C5B12" w:rsidP="00BD0B66">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INVISIBLE HAND AND HOME MARKET</w:t>
      </w:r>
    </w:p>
    <w:p w14:paraId="6D6C1F14" w14:textId="35843458" w:rsidR="00F60F0B" w:rsidRDefault="001C5B12" w:rsidP="00BD0B6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2676E" w:rsidRPr="00B2676E">
        <w:rPr>
          <w:rFonts w:ascii="Times New Roman" w:hAnsi="Times New Roman" w:cs="Times New Roman"/>
          <w:sz w:val="24"/>
          <w:szCs w:val="24"/>
        </w:rPr>
        <w:t>The invisible hand is a moral story for the shrouded powers that move the free market economy. Through individual moral obligation and the chance of creation similarly as usage, the prosperity of society, with everything taken into account, are fulfilled (Kittleson et al. (2020). The predictable exchange of individual loads available deftly, and solicitation causes the joint advancement of expenses and the movement of trade</w:t>
      </w:r>
      <w:r w:rsidRPr="002E212A">
        <w:rPr>
          <w:rFonts w:ascii="Times New Roman" w:hAnsi="Times New Roman" w:cs="Times New Roman"/>
          <w:sz w:val="24"/>
          <w:szCs w:val="24"/>
        </w:rPr>
        <w:t>.</w:t>
      </w:r>
      <w:r w:rsidRPr="00F60F0B">
        <w:t xml:space="preserve"> </w:t>
      </w:r>
      <w:r w:rsidRPr="00F60F0B">
        <w:rPr>
          <w:rFonts w:ascii="Times New Roman" w:hAnsi="Times New Roman" w:cs="Times New Roman"/>
          <w:sz w:val="24"/>
          <w:szCs w:val="24"/>
        </w:rPr>
        <w:t>The home market impact is a theorized convergence of specific enterprises in enormous business sectors. The home market impact became important for New Trade Theory</w:t>
      </w:r>
      <w:r w:rsidR="00C73EEB">
        <w:rPr>
          <w:rFonts w:ascii="Times New Roman" w:hAnsi="Times New Roman" w:cs="Times New Roman"/>
          <w:sz w:val="24"/>
          <w:szCs w:val="24"/>
        </w:rPr>
        <w:t xml:space="preserve"> (</w:t>
      </w:r>
      <w:r w:rsidR="00C73EEB" w:rsidRPr="004100ED">
        <w:rPr>
          <w:rFonts w:ascii="Times New Roman" w:hAnsi="Times New Roman" w:cs="Times New Roman"/>
          <w:color w:val="222222"/>
          <w:sz w:val="24"/>
          <w:szCs w:val="24"/>
          <w:shd w:val="clear" w:color="auto" w:fill="FFFFFF"/>
        </w:rPr>
        <w:t>Dionysios</w:t>
      </w:r>
      <w:r w:rsidR="00C73EEB">
        <w:rPr>
          <w:rFonts w:ascii="Times New Roman" w:hAnsi="Times New Roman" w:cs="Times New Roman"/>
          <w:color w:val="222222"/>
          <w:sz w:val="24"/>
          <w:szCs w:val="24"/>
          <w:shd w:val="clear" w:color="auto" w:fill="FFFFFF"/>
        </w:rPr>
        <w:t xml:space="preserve"> et al. (2020)</w:t>
      </w:r>
      <w:r w:rsidRPr="00F60F0B">
        <w:rPr>
          <w:rFonts w:ascii="Times New Roman" w:hAnsi="Times New Roman" w:cs="Times New Roman"/>
          <w:sz w:val="24"/>
          <w:szCs w:val="24"/>
        </w:rPr>
        <w:t>. Through the exchange hypothesis, the home market impact is gotten from models with re-visitation of scale and transportation costs. When it is less expensive for an industry to work in an isolated nation in light of profits to scale, an enterprise will base itself in the country where most of its items are devoured to limit transportation costs.</w:t>
      </w:r>
    </w:p>
    <w:p w14:paraId="64716A88" w14:textId="5AF66FCE" w:rsidR="00F60F0B" w:rsidRDefault="001C5B12" w:rsidP="00BD0B6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60F0B">
        <w:rPr>
          <w:rFonts w:ascii="Times New Roman" w:hAnsi="Times New Roman" w:cs="Times New Roman"/>
          <w:sz w:val="24"/>
          <w:szCs w:val="24"/>
        </w:rPr>
        <w:t>The home market impact infers a connection between market size and fares that isn't represented in exchange models dependent on a near bit of leeway. The undetectable hand illustration distills two basic thoughts. To start with, deliberate exchanges, a free market produce inadvertent and far and wide advantages. Second, these advantages are more prominent than those of a managed, arranged economy.</w:t>
      </w:r>
      <w:r w:rsidRPr="00F60F0B">
        <w:t xml:space="preserve"> </w:t>
      </w:r>
      <w:r w:rsidRPr="00F60F0B">
        <w:rPr>
          <w:rFonts w:ascii="Times New Roman" w:hAnsi="Times New Roman" w:cs="Times New Roman"/>
          <w:sz w:val="24"/>
          <w:szCs w:val="24"/>
        </w:rPr>
        <w:t>The home market impact predicts that the creation of high-economy-of-scale/high-transport-cost merchandise can be all the more proficiently done in geographic areas with nearby high interest, as opposed to an increased relative bit of leeway</w:t>
      </w:r>
      <w:r>
        <w:rPr>
          <w:rFonts w:ascii="Times New Roman" w:hAnsi="Times New Roman" w:cs="Times New Roman"/>
          <w:sz w:val="24"/>
          <w:szCs w:val="24"/>
        </w:rPr>
        <w:t>.</w:t>
      </w:r>
    </w:p>
    <w:p w14:paraId="3B2C23F4" w14:textId="62A0946B" w:rsidR="00743199" w:rsidRDefault="001C5B12" w:rsidP="00BD0B6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7160E" w:rsidRPr="0047160E">
        <w:rPr>
          <w:rFonts w:ascii="Times New Roman" w:hAnsi="Times New Roman" w:cs="Times New Roman"/>
          <w:sz w:val="24"/>
          <w:szCs w:val="24"/>
        </w:rPr>
        <w:t xml:space="preserve">The home market impact was initially proposed by Corden and was created by Paul Krugman in a 1980 article. Krugman looked to give an option in contrast to the Linder theory. In light of ongoing examination, the home market impact affirms Linder's slant that a country's interest is a </w:t>
      </w:r>
      <w:r w:rsidR="0047160E" w:rsidRPr="0047160E">
        <w:rPr>
          <w:rFonts w:ascii="Times New Roman" w:hAnsi="Times New Roman" w:cs="Times New Roman"/>
          <w:sz w:val="24"/>
          <w:szCs w:val="24"/>
        </w:rPr>
        <w:lastRenderedPageBreak/>
        <w:t>predicate for its fares; however, it doesn't uphold Linder's case that distinctions in nations' inclinations hinder exchange</w:t>
      </w:r>
      <w:r w:rsidR="0047160E">
        <w:rPr>
          <w:rFonts w:ascii="Times New Roman" w:hAnsi="Times New Roman" w:cs="Times New Roman"/>
          <w:sz w:val="24"/>
          <w:szCs w:val="24"/>
        </w:rPr>
        <w:t>.</w:t>
      </w:r>
      <w:r w:rsidR="0047160E" w:rsidRPr="0047160E">
        <w:t xml:space="preserve"> </w:t>
      </w:r>
      <w:r w:rsidR="00B2676E" w:rsidRPr="00B2676E">
        <w:rPr>
          <w:rFonts w:ascii="Times New Roman" w:hAnsi="Times New Roman" w:cs="Times New Roman"/>
          <w:sz w:val="24"/>
          <w:szCs w:val="24"/>
        </w:rPr>
        <w:t>The invisible hand portrays the unintended social focal points of an individual's self-captivated exercises. This thought was first introduced by Adam Smith in The Theory of Moral Sentiments, written in 1759, conjuring it concerning pay spread</w:t>
      </w:r>
      <w:r w:rsidR="0047160E">
        <w:rPr>
          <w:rFonts w:ascii="Times New Roman" w:hAnsi="Times New Roman" w:cs="Times New Roman"/>
          <w:sz w:val="24"/>
          <w:szCs w:val="24"/>
        </w:rPr>
        <w:t>.</w:t>
      </w:r>
    </w:p>
    <w:p w14:paraId="22A102B8" w14:textId="77777777" w:rsidR="00743199" w:rsidRDefault="001C5B12">
      <w:pPr>
        <w:rPr>
          <w:rFonts w:ascii="Times New Roman" w:hAnsi="Times New Roman" w:cs="Times New Roman"/>
          <w:sz w:val="24"/>
          <w:szCs w:val="24"/>
        </w:rPr>
      </w:pPr>
      <w:r>
        <w:rPr>
          <w:rFonts w:ascii="Times New Roman" w:hAnsi="Times New Roman" w:cs="Times New Roman"/>
          <w:sz w:val="24"/>
          <w:szCs w:val="24"/>
        </w:rPr>
        <w:br w:type="page"/>
      </w:r>
    </w:p>
    <w:p w14:paraId="12662047" w14:textId="5BE0EC3C" w:rsidR="00F60F0B" w:rsidRDefault="001C5B12" w:rsidP="00BD0B66">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ED39475" w14:textId="3B03D545" w:rsidR="00743199" w:rsidRDefault="001C5B12" w:rsidP="004100ED">
      <w:pPr>
        <w:spacing w:line="480" w:lineRule="auto"/>
        <w:ind w:left="720" w:hanging="720"/>
        <w:jc w:val="both"/>
        <w:rPr>
          <w:rFonts w:ascii="Arial" w:hAnsi="Arial" w:cs="Arial"/>
          <w:color w:val="222222"/>
          <w:sz w:val="20"/>
          <w:szCs w:val="20"/>
          <w:shd w:val="clear" w:color="auto" w:fill="FFFFFF"/>
        </w:rPr>
      </w:pPr>
      <w:r w:rsidRPr="004100ED">
        <w:rPr>
          <w:rFonts w:ascii="Times New Roman" w:hAnsi="Times New Roman" w:cs="Times New Roman"/>
          <w:color w:val="222222"/>
          <w:sz w:val="24"/>
          <w:szCs w:val="24"/>
          <w:shd w:val="clear" w:color="auto" w:fill="FFFFFF"/>
        </w:rPr>
        <w:t>Ayuba, C. (2020). Caught in the web of Hobbes’ state of nature: thoughts on central Nigeria's violent conflicts. </w:t>
      </w:r>
      <w:r w:rsidRPr="004100ED">
        <w:rPr>
          <w:rFonts w:ascii="Times New Roman" w:hAnsi="Times New Roman" w:cs="Times New Roman"/>
          <w:i/>
          <w:iCs/>
          <w:color w:val="222222"/>
          <w:sz w:val="24"/>
          <w:szCs w:val="24"/>
          <w:shd w:val="clear" w:color="auto" w:fill="FFFFFF"/>
        </w:rPr>
        <w:t>Ubuntu: Journal of Conflict and Social Transformation</w:t>
      </w:r>
      <w:r w:rsidRPr="004100ED">
        <w:rPr>
          <w:rFonts w:ascii="Times New Roman" w:hAnsi="Times New Roman" w:cs="Times New Roman"/>
          <w:color w:val="222222"/>
          <w:sz w:val="24"/>
          <w:szCs w:val="24"/>
          <w:shd w:val="clear" w:color="auto" w:fill="FFFFFF"/>
        </w:rPr>
        <w:t>, </w:t>
      </w:r>
      <w:r w:rsidRPr="004100ED">
        <w:rPr>
          <w:rFonts w:ascii="Times New Roman" w:hAnsi="Times New Roman" w:cs="Times New Roman"/>
          <w:i/>
          <w:iCs/>
          <w:color w:val="222222"/>
          <w:sz w:val="24"/>
          <w:szCs w:val="24"/>
          <w:shd w:val="clear" w:color="auto" w:fill="FFFFFF"/>
        </w:rPr>
        <w:t>9</w:t>
      </w:r>
      <w:r w:rsidRPr="004100ED">
        <w:rPr>
          <w:rFonts w:ascii="Times New Roman" w:hAnsi="Times New Roman" w:cs="Times New Roman"/>
          <w:color w:val="222222"/>
          <w:sz w:val="24"/>
          <w:szCs w:val="24"/>
          <w:shd w:val="clear" w:color="auto" w:fill="FFFFFF"/>
        </w:rPr>
        <w:t>(1), 25-42</w:t>
      </w:r>
      <w:r>
        <w:rPr>
          <w:rFonts w:ascii="Arial" w:hAnsi="Arial" w:cs="Arial"/>
          <w:color w:val="222222"/>
          <w:sz w:val="20"/>
          <w:szCs w:val="20"/>
          <w:shd w:val="clear" w:color="auto" w:fill="FFFFFF"/>
        </w:rPr>
        <w:t>.</w:t>
      </w:r>
    </w:p>
    <w:p w14:paraId="653665DA" w14:textId="0D0779A4" w:rsidR="00907AB1" w:rsidRDefault="001C5B12" w:rsidP="004100ED">
      <w:pPr>
        <w:spacing w:line="480" w:lineRule="auto"/>
        <w:ind w:left="720" w:hanging="720"/>
        <w:jc w:val="both"/>
        <w:rPr>
          <w:rFonts w:ascii="Times New Roman" w:hAnsi="Times New Roman" w:cs="Times New Roman"/>
          <w:color w:val="222222"/>
          <w:sz w:val="24"/>
          <w:szCs w:val="24"/>
          <w:shd w:val="clear" w:color="auto" w:fill="FFFFFF"/>
        </w:rPr>
      </w:pPr>
      <w:r w:rsidRPr="004100ED">
        <w:rPr>
          <w:rFonts w:ascii="Times New Roman" w:hAnsi="Times New Roman" w:cs="Times New Roman"/>
          <w:color w:val="222222"/>
          <w:sz w:val="24"/>
          <w:szCs w:val="24"/>
          <w:shd w:val="clear" w:color="auto" w:fill="FFFFFF"/>
        </w:rPr>
        <w:t xml:space="preserve">Bruner, J. P. (2020). Locke, Nozick, and the state of nature. </w:t>
      </w:r>
      <w:r w:rsidRPr="004100ED">
        <w:rPr>
          <w:rFonts w:ascii="Times New Roman" w:hAnsi="Times New Roman" w:cs="Times New Roman"/>
          <w:i/>
          <w:iCs/>
          <w:color w:val="222222"/>
          <w:sz w:val="24"/>
          <w:szCs w:val="24"/>
          <w:shd w:val="clear" w:color="auto" w:fill="FFFFFF"/>
        </w:rPr>
        <w:t>Philosophical Studies</w:t>
      </w:r>
      <w:r w:rsidRPr="004100ED">
        <w:rPr>
          <w:rFonts w:ascii="Times New Roman" w:hAnsi="Times New Roman" w:cs="Times New Roman"/>
          <w:color w:val="222222"/>
          <w:sz w:val="24"/>
          <w:szCs w:val="24"/>
          <w:shd w:val="clear" w:color="auto" w:fill="FFFFFF"/>
        </w:rPr>
        <w:t>, </w:t>
      </w:r>
      <w:r w:rsidRPr="004100ED">
        <w:rPr>
          <w:rFonts w:ascii="Times New Roman" w:hAnsi="Times New Roman" w:cs="Times New Roman"/>
          <w:i/>
          <w:iCs/>
          <w:color w:val="222222"/>
          <w:sz w:val="24"/>
          <w:szCs w:val="24"/>
          <w:shd w:val="clear" w:color="auto" w:fill="FFFFFF"/>
        </w:rPr>
        <w:t>177</w:t>
      </w:r>
      <w:r w:rsidRPr="004100ED">
        <w:rPr>
          <w:rFonts w:ascii="Times New Roman" w:hAnsi="Times New Roman" w:cs="Times New Roman"/>
          <w:color w:val="222222"/>
          <w:sz w:val="24"/>
          <w:szCs w:val="24"/>
          <w:shd w:val="clear" w:color="auto" w:fill="FFFFFF"/>
        </w:rPr>
        <w:t>(3), 705-726.</w:t>
      </w:r>
    </w:p>
    <w:p w14:paraId="72D250CE" w14:textId="6B13CB28" w:rsidR="004100ED" w:rsidRPr="004100ED" w:rsidRDefault="001C5B12" w:rsidP="004100ED">
      <w:pPr>
        <w:spacing w:line="480" w:lineRule="auto"/>
        <w:ind w:left="720" w:hanging="720"/>
        <w:jc w:val="both"/>
        <w:rPr>
          <w:rFonts w:ascii="Times New Roman" w:hAnsi="Times New Roman" w:cs="Times New Roman"/>
          <w:b/>
          <w:bCs/>
          <w:sz w:val="24"/>
          <w:szCs w:val="24"/>
        </w:rPr>
      </w:pPr>
      <w:r w:rsidRPr="004100ED">
        <w:rPr>
          <w:rFonts w:ascii="Times New Roman" w:hAnsi="Times New Roman" w:cs="Times New Roman"/>
          <w:color w:val="222222"/>
          <w:sz w:val="24"/>
          <w:szCs w:val="24"/>
          <w:shd w:val="clear" w:color="auto" w:fill="FFFFFF"/>
        </w:rPr>
        <w:t>Dionysios, K. (2020). Market Access and Home Market Effect. </w:t>
      </w:r>
      <w:r w:rsidRPr="004100ED">
        <w:rPr>
          <w:rFonts w:ascii="Times New Roman" w:hAnsi="Times New Roman" w:cs="Times New Roman"/>
          <w:i/>
          <w:iCs/>
          <w:color w:val="222222"/>
          <w:sz w:val="24"/>
          <w:szCs w:val="24"/>
          <w:shd w:val="clear" w:color="auto" w:fill="FFFFFF"/>
        </w:rPr>
        <w:t>Open Economics</w:t>
      </w:r>
      <w:r w:rsidRPr="004100ED">
        <w:rPr>
          <w:rFonts w:ascii="Times New Roman" w:hAnsi="Times New Roman" w:cs="Times New Roman"/>
          <w:color w:val="222222"/>
          <w:sz w:val="24"/>
          <w:szCs w:val="24"/>
          <w:shd w:val="clear" w:color="auto" w:fill="FFFFFF"/>
        </w:rPr>
        <w:t>, </w:t>
      </w:r>
      <w:r w:rsidRPr="004100ED">
        <w:rPr>
          <w:rFonts w:ascii="Times New Roman" w:hAnsi="Times New Roman" w:cs="Times New Roman"/>
          <w:i/>
          <w:iCs/>
          <w:color w:val="222222"/>
          <w:sz w:val="24"/>
          <w:szCs w:val="24"/>
          <w:shd w:val="clear" w:color="auto" w:fill="FFFFFF"/>
        </w:rPr>
        <w:t>3</w:t>
      </w:r>
      <w:r w:rsidRPr="004100ED">
        <w:rPr>
          <w:rFonts w:ascii="Times New Roman" w:hAnsi="Times New Roman" w:cs="Times New Roman"/>
          <w:color w:val="222222"/>
          <w:sz w:val="24"/>
          <w:szCs w:val="24"/>
          <w:shd w:val="clear" w:color="auto" w:fill="FFFFFF"/>
        </w:rPr>
        <w:t>(1), 42-49.</w:t>
      </w:r>
    </w:p>
    <w:p w14:paraId="11DAEDA5" w14:textId="713267E7" w:rsidR="0068416F" w:rsidRPr="004100ED" w:rsidRDefault="001C5B12" w:rsidP="004100ED">
      <w:pPr>
        <w:spacing w:line="480" w:lineRule="auto"/>
        <w:ind w:left="720" w:hanging="720"/>
        <w:contextualSpacing/>
        <w:rPr>
          <w:rFonts w:ascii="Times New Roman" w:hAnsi="Times New Roman" w:cs="Times New Roman"/>
          <w:sz w:val="24"/>
          <w:szCs w:val="24"/>
        </w:rPr>
      </w:pPr>
      <w:r w:rsidRPr="004100ED">
        <w:rPr>
          <w:rFonts w:ascii="Times New Roman" w:hAnsi="Times New Roman" w:cs="Times New Roman"/>
          <w:color w:val="222222"/>
          <w:sz w:val="24"/>
          <w:szCs w:val="24"/>
          <w:shd w:val="clear" w:color="auto" w:fill="FFFFFF"/>
        </w:rPr>
        <w:t>Kittleson, M. M. (2020). The invisible hand—medical care during the pandemic. </w:t>
      </w:r>
      <w:r w:rsidRPr="004100ED">
        <w:rPr>
          <w:rFonts w:ascii="Times New Roman" w:hAnsi="Times New Roman" w:cs="Times New Roman"/>
          <w:i/>
          <w:iCs/>
          <w:color w:val="222222"/>
          <w:sz w:val="24"/>
          <w:szCs w:val="24"/>
          <w:shd w:val="clear" w:color="auto" w:fill="FFFFFF"/>
        </w:rPr>
        <w:t>New England Journal of Medicine</w:t>
      </w:r>
      <w:r w:rsidRPr="004100ED">
        <w:rPr>
          <w:rFonts w:ascii="Times New Roman" w:hAnsi="Times New Roman" w:cs="Times New Roman"/>
          <w:color w:val="222222"/>
          <w:sz w:val="24"/>
          <w:szCs w:val="24"/>
          <w:shd w:val="clear" w:color="auto" w:fill="FFFFFF"/>
        </w:rPr>
        <w:t>, </w:t>
      </w:r>
      <w:r w:rsidRPr="004100ED">
        <w:rPr>
          <w:rFonts w:ascii="Times New Roman" w:hAnsi="Times New Roman" w:cs="Times New Roman"/>
          <w:i/>
          <w:iCs/>
          <w:color w:val="222222"/>
          <w:sz w:val="24"/>
          <w:szCs w:val="24"/>
          <w:shd w:val="clear" w:color="auto" w:fill="FFFFFF"/>
        </w:rPr>
        <w:t>382</w:t>
      </w:r>
      <w:r w:rsidRPr="004100ED">
        <w:rPr>
          <w:rFonts w:ascii="Times New Roman" w:hAnsi="Times New Roman" w:cs="Times New Roman"/>
          <w:color w:val="222222"/>
          <w:sz w:val="24"/>
          <w:szCs w:val="24"/>
          <w:shd w:val="clear" w:color="auto" w:fill="FFFFFF"/>
        </w:rPr>
        <w:t>(17), 1586-1587.</w:t>
      </w:r>
    </w:p>
    <w:sectPr w:rsidR="0068416F" w:rsidRPr="004100ED" w:rsidSect="00907A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BF5803" w14:textId="77777777" w:rsidR="001C5B12" w:rsidRDefault="001C5B12">
      <w:pPr>
        <w:spacing w:after="0" w:line="240" w:lineRule="auto"/>
      </w:pPr>
      <w:r>
        <w:separator/>
      </w:r>
    </w:p>
  </w:endnote>
  <w:endnote w:type="continuationSeparator" w:id="0">
    <w:p w14:paraId="50478735" w14:textId="77777777" w:rsidR="001C5B12" w:rsidRDefault="001C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DFBD98" w14:textId="77777777" w:rsidR="001C5B12" w:rsidRDefault="001C5B12">
      <w:pPr>
        <w:spacing w:after="0" w:line="240" w:lineRule="auto"/>
      </w:pPr>
      <w:r>
        <w:separator/>
      </w:r>
    </w:p>
  </w:footnote>
  <w:footnote w:type="continuationSeparator" w:id="0">
    <w:p w14:paraId="3EE80F00" w14:textId="77777777" w:rsidR="001C5B12" w:rsidRDefault="001C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D3F1B" w14:textId="42F79499" w:rsidR="00907AB1" w:rsidRDefault="001C5B12">
    <w:pPr>
      <w:pStyle w:val="Header"/>
      <w:jc w:val="right"/>
    </w:pPr>
    <w:r>
      <w:t>POLITICAL SCIENCE</w:t>
    </w:r>
    <w:r>
      <w:tab/>
    </w:r>
    <w:r>
      <w:tab/>
    </w:r>
    <w:sdt>
      <w:sdtPr>
        <w:id w:val="5543570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E879935" w14:textId="77777777" w:rsidR="00907AB1" w:rsidRPr="00907AB1" w:rsidRDefault="00907AB1" w:rsidP="00907AB1">
    <w:pPr>
      <w:pStyle w:val="Header"/>
      <w:spacing w:line="480" w:lineRule="auto"/>
      <w:contextualSpacing/>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F2790" w14:textId="7C98100A" w:rsidR="00907AB1" w:rsidRDefault="001C5B12">
    <w:pPr>
      <w:pStyle w:val="Header"/>
      <w:jc w:val="right"/>
    </w:pPr>
    <w:r>
      <w:t>Running head: POLITICAL SCIENCE</w:t>
    </w:r>
    <w:r>
      <w:tab/>
    </w:r>
    <w:r>
      <w:tab/>
    </w:r>
    <w:sdt>
      <w:sdtPr>
        <w:id w:val="-5507595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4CA7ED2" w14:textId="77777777" w:rsidR="00907AB1" w:rsidRDefault="00907A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AB1"/>
    <w:rsid w:val="001C5B12"/>
    <w:rsid w:val="002E212A"/>
    <w:rsid w:val="004100ED"/>
    <w:rsid w:val="0047160E"/>
    <w:rsid w:val="0068416F"/>
    <w:rsid w:val="00723888"/>
    <w:rsid w:val="00743199"/>
    <w:rsid w:val="007E1992"/>
    <w:rsid w:val="008D3BB8"/>
    <w:rsid w:val="00907AB1"/>
    <w:rsid w:val="00992EFF"/>
    <w:rsid w:val="00A749BD"/>
    <w:rsid w:val="00AE2D6B"/>
    <w:rsid w:val="00B2676E"/>
    <w:rsid w:val="00BD0B66"/>
    <w:rsid w:val="00C73EEB"/>
    <w:rsid w:val="00CE0F69"/>
    <w:rsid w:val="00F60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0AF0F-0A24-43BD-A9F1-334221FD7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AB1"/>
  </w:style>
  <w:style w:type="paragraph" w:styleId="Footer">
    <w:name w:val="footer"/>
    <w:basedOn w:val="Normal"/>
    <w:link w:val="FooterChar"/>
    <w:uiPriority w:val="99"/>
    <w:unhideWhenUsed/>
    <w:rsid w:val="00907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Anthony Kivindu</dc:creator>
  <cp:lastModifiedBy>254716226303</cp:lastModifiedBy>
  <cp:revision>2</cp:revision>
  <dcterms:created xsi:type="dcterms:W3CDTF">2020-09-24T22:41:00Z</dcterms:created>
  <dcterms:modified xsi:type="dcterms:W3CDTF">2020-09-24T22:41:00Z</dcterms:modified>
</cp:coreProperties>
</file>